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56" w:rsidRDefault="00014656" w:rsidP="00014656">
      <w:pPr>
        <w:rPr>
          <w:sz w:val="28"/>
          <w:szCs w:val="28"/>
          <w:lang w:val="kk-KZ"/>
        </w:rPr>
      </w:pPr>
      <w:r>
        <w:rPr>
          <w:b/>
          <w:sz w:val="28"/>
          <w:szCs w:val="28"/>
          <w:lang w:val="kk-KZ"/>
        </w:rPr>
        <w:t>9-дәріс. Бейнебаян (экран) тілі мен дыбыстық тіл құрамдастарын үйлестіру шеберлігі</w:t>
      </w:r>
      <w:r>
        <w:rPr>
          <w:sz w:val="28"/>
          <w:szCs w:val="28"/>
          <w:lang w:val="kk-KZ"/>
        </w:rPr>
        <w:t xml:space="preserve">.  </w:t>
      </w:r>
    </w:p>
    <w:p w:rsidR="00014656" w:rsidRDefault="00014656" w:rsidP="00014656">
      <w:pPr>
        <w:rPr>
          <w:sz w:val="28"/>
          <w:szCs w:val="28"/>
          <w:lang w:val="kk-KZ"/>
        </w:rPr>
      </w:pPr>
    </w:p>
    <w:p w:rsidR="00014656" w:rsidRDefault="00014656" w:rsidP="00014656">
      <w:pPr>
        <w:rPr>
          <w:sz w:val="28"/>
          <w:szCs w:val="28"/>
          <w:lang w:val="kk-KZ"/>
        </w:rPr>
      </w:pPr>
      <w:r>
        <w:rPr>
          <w:sz w:val="28"/>
          <w:szCs w:val="28"/>
          <w:lang w:val="kk-KZ"/>
        </w:rPr>
        <w:t>Телетілдің құрамдас үш құралын жеке танып олардың бір бірімен қалай қабысып,байланысатынын білгеннен кейін, олардың контекстегі көркемдеушілік қабілеті не тоқталамыз. Бұл дәрістің мақсаты телетілдің қарапайым функциясын айту емес, оларды қолданудағы шеберлік сырларына үңіле қарап ұғыну. Үш тілдік құрам бір ақпаратты бір мезгілде айтуы телетіл теориясы бойынша дұрыс емес.</w:t>
      </w:r>
      <w:r>
        <w:rPr>
          <w:b/>
          <w:sz w:val="28"/>
          <w:szCs w:val="28"/>
          <w:lang w:val="kk-KZ"/>
        </w:rPr>
        <w:t xml:space="preserve"> </w:t>
      </w:r>
      <w:r>
        <w:rPr>
          <w:sz w:val="28"/>
          <w:szCs w:val="28"/>
          <w:lang w:val="kk-KZ"/>
        </w:rPr>
        <w:t>Бірақ мұны әдейі бұзу арқылы шығарманы көркемдеуге болады. Дәрістің мақсаты осы заңдылық пен еркіндіктің тайталасын ашып көрсету.</w:t>
      </w:r>
    </w:p>
    <w:p w:rsidR="003D152D" w:rsidRDefault="003D152D">
      <w:pPr>
        <w:rPr>
          <w:lang w:val="kk-KZ"/>
        </w:rPr>
      </w:pPr>
    </w:p>
    <w:p w:rsidR="008F41F4" w:rsidRDefault="008F41F4" w:rsidP="008F41F4">
      <w:pPr>
        <w:rPr>
          <w:b/>
          <w:sz w:val="28"/>
          <w:szCs w:val="28"/>
          <w:lang w:val="kk-KZ"/>
        </w:rPr>
      </w:pPr>
      <w:r>
        <w:rPr>
          <w:b/>
          <w:sz w:val="28"/>
          <w:szCs w:val="28"/>
          <w:lang w:val="kk-KZ"/>
        </w:rPr>
        <w:t>Пайдаланған әдебиеттер:</w:t>
      </w:r>
    </w:p>
    <w:p w:rsidR="008F41F4" w:rsidRDefault="008F41F4" w:rsidP="008F41F4">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spacing w:line="276" w:lineRule="auto"/>
              <w:rPr>
                <w:sz w:val="24"/>
                <w:szCs w:val="24"/>
                <w:lang w:val="kk-KZ" w:eastAsia="en-US"/>
              </w:rPr>
            </w:pPr>
            <w:r>
              <w:rPr>
                <w:lang w:val="kk-KZ" w:eastAsia="en-US"/>
              </w:rPr>
              <w:t>Т. Қожакев-Таңдамалы шығармалары.</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Қабдолов З. Адам. Публицистика. –А.: 1964.</w:t>
            </w:r>
          </w:p>
        </w:tc>
      </w:tr>
      <w:tr w:rsidR="008F41F4" w:rsidTr="008F41F4">
        <w:tc>
          <w:tcPr>
            <w:tcW w:w="2549" w:type="dxa"/>
            <w:tcBorders>
              <w:top w:val="single" w:sz="4" w:space="0" w:color="auto"/>
              <w:left w:val="single" w:sz="4" w:space="0" w:color="auto"/>
              <w:bottom w:val="single" w:sz="4" w:space="0" w:color="auto"/>
              <w:right w:val="single" w:sz="4" w:space="0" w:color="auto"/>
            </w:tcBorders>
          </w:tcPr>
          <w:p w:rsidR="008F41F4" w:rsidRDefault="008F41F4">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8F41F4" w:rsidRDefault="008F41F4">
            <w:pPr>
              <w:spacing w:line="276" w:lineRule="auto"/>
              <w:rPr>
                <w:sz w:val="24"/>
                <w:szCs w:val="24"/>
                <w:lang w:val="kk-KZ" w:eastAsia="en-US"/>
              </w:rPr>
            </w:pP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Қаратаев М. Ізденіс іздері. –А.: 1984</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rPr>
            </w:pPr>
            <w:r>
              <w:rPr>
                <w:rFonts w:ascii="Times New Roman" w:hAnsi="Times New Roman"/>
                <w:sz w:val="24"/>
                <w:szCs w:val="24"/>
              </w:rPr>
              <w:t>Шевчук Д.А. Экономическая журналистика. – М.: Российский бухгалтер. – 2008. – 568 с.</w:t>
            </w: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8F41F4" w:rsidTr="008F41F4">
        <w:tc>
          <w:tcPr>
            <w:tcW w:w="2549" w:type="dxa"/>
            <w:tcBorders>
              <w:top w:val="single" w:sz="4" w:space="0" w:color="auto"/>
              <w:left w:val="single" w:sz="4" w:space="0" w:color="auto"/>
              <w:bottom w:val="single" w:sz="4" w:space="0" w:color="auto"/>
              <w:right w:val="single" w:sz="4" w:space="0" w:color="auto"/>
            </w:tcBorders>
          </w:tcPr>
          <w:p w:rsidR="008F41F4" w:rsidRDefault="008F41F4">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8F41F4" w:rsidRDefault="008F41F4">
            <w:pPr>
              <w:spacing w:line="276" w:lineRule="auto"/>
              <w:rPr>
                <w:sz w:val="24"/>
                <w:szCs w:val="24"/>
                <w:lang w:eastAsia="en-US"/>
              </w:rPr>
            </w:pPr>
          </w:p>
        </w:tc>
      </w:tr>
      <w:tr w:rsidR="008F41F4" w:rsidTr="008F41F4">
        <w:tc>
          <w:tcPr>
            <w:tcW w:w="2549" w:type="dxa"/>
            <w:tcBorders>
              <w:top w:val="single" w:sz="4" w:space="0" w:color="auto"/>
              <w:left w:val="single" w:sz="4" w:space="0" w:color="auto"/>
              <w:bottom w:val="single" w:sz="4" w:space="0" w:color="auto"/>
              <w:right w:val="single" w:sz="4" w:space="0" w:color="auto"/>
            </w:tcBorders>
            <w:hideMark/>
          </w:tcPr>
          <w:p w:rsidR="008F41F4" w:rsidRDefault="008F41F4">
            <w:pPr>
              <w:pStyle w:val="a3"/>
              <w:spacing w:after="0"/>
              <w:ind w:left="0"/>
              <w:jc w:val="both"/>
              <w:rPr>
                <w:rFonts w:ascii="Times New Roman" w:hAnsi="Times New Roman"/>
                <w:sz w:val="24"/>
                <w:szCs w:val="24"/>
              </w:rPr>
            </w:pPr>
            <w:proofErr w:type="spellStart"/>
            <w:r>
              <w:rPr>
                <w:rFonts w:ascii="Times New Roman" w:hAnsi="Times New Roman"/>
                <w:sz w:val="24"/>
                <w:szCs w:val="24"/>
              </w:rPr>
              <w:lastRenderedPageBreak/>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8F41F4" w:rsidRDefault="008F41F4" w:rsidP="008F41F4">
      <w:pPr>
        <w:rPr>
          <w:b/>
          <w:sz w:val="28"/>
          <w:szCs w:val="28"/>
        </w:rPr>
      </w:pPr>
    </w:p>
    <w:p w:rsidR="008F41F4" w:rsidRDefault="008F41F4" w:rsidP="008F41F4">
      <w:pPr>
        <w:rPr>
          <w:sz w:val="28"/>
          <w:szCs w:val="28"/>
        </w:rPr>
      </w:pPr>
    </w:p>
    <w:p w:rsidR="008F41F4" w:rsidRPr="008F41F4" w:rsidRDefault="008F41F4">
      <w:bookmarkStart w:id="0" w:name="_GoBack"/>
      <w:bookmarkEnd w:id="0"/>
    </w:p>
    <w:sectPr w:rsidR="008F41F4" w:rsidRPr="008F4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649"/>
    <w:rsid w:val="00014656"/>
    <w:rsid w:val="001A1649"/>
    <w:rsid w:val="003D152D"/>
    <w:rsid w:val="008F4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56"/>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1F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56"/>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1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1800">
      <w:bodyDiv w:val="1"/>
      <w:marLeft w:val="0"/>
      <w:marRight w:val="0"/>
      <w:marTop w:val="0"/>
      <w:marBottom w:val="0"/>
      <w:divBdr>
        <w:top w:val="none" w:sz="0" w:space="0" w:color="auto"/>
        <w:left w:val="none" w:sz="0" w:space="0" w:color="auto"/>
        <w:bottom w:val="none" w:sz="0" w:space="0" w:color="auto"/>
        <w:right w:val="none" w:sz="0" w:space="0" w:color="auto"/>
      </w:divBdr>
    </w:div>
    <w:div w:id="19432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2018-12-19T12:39:00Z</dcterms:created>
  <dcterms:modified xsi:type="dcterms:W3CDTF">2018-12-19T12:56:00Z</dcterms:modified>
</cp:coreProperties>
</file>